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A2F" w:rsidRDefault="00300F19">
      <w:pPr>
        <w:shd w:val="clear" w:color="auto" w:fill="FFFFFF"/>
        <w:spacing w:after="240"/>
        <w:ind w:firstLine="480"/>
        <w:jc w:val="both"/>
        <w:rPr>
          <w:rFonts w:ascii="新細明體" w:eastAsia="新細明體" w:hAnsi="新細明體" w:cs="Calibri"/>
          <w:color w:val="000000"/>
          <w:sz w:val="28"/>
          <w:szCs w:val="28"/>
          <w:lang w:eastAsia="zh-TW"/>
        </w:rPr>
      </w:pPr>
      <w:bookmarkStart w:id="0" w:name="_GoBack"/>
      <w:bookmarkEnd w:id="0"/>
      <w:r>
        <w:rPr>
          <w:rFonts w:ascii="新細明體" w:eastAsia="新細明體" w:hAnsi="新細明體" w:cs="Calibri"/>
          <w:color w:val="000000"/>
          <w:sz w:val="28"/>
          <w:szCs w:val="28"/>
          <w:lang w:eastAsia="zh-TW"/>
        </w:rPr>
        <w:t>衝突礦產（</w:t>
      </w:r>
      <w:r>
        <w:rPr>
          <w:rFonts w:ascii="新細明體" w:eastAsia="新細明體" w:hAnsi="新細明體" w:cs="Calibri"/>
          <w:color w:val="000000"/>
          <w:sz w:val="28"/>
          <w:szCs w:val="28"/>
          <w:lang w:eastAsia="zh-TW"/>
        </w:rPr>
        <w:t>Conflict Minerals CM</w:t>
      </w:r>
      <w:r>
        <w:rPr>
          <w:rFonts w:ascii="新細明體" w:eastAsia="新細明體" w:hAnsi="新細明體" w:cs="Calibri"/>
          <w:color w:val="000000"/>
          <w:sz w:val="28"/>
          <w:szCs w:val="28"/>
          <w:lang w:eastAsia="zh-TW"/>
        </w:rPr>
        <w:t>）指來自於剛果民主共和國非政府軍事團體或非軍事派別所控制衝突地區的礦區生產的金（</w:t>
      </w:r>
      <w:r>
        <w:rPr>
          <w:rFonts w:ascii="新細明體" w:eastAsia="新細明體" w:hAnsi="新細明體" w:cs="Calibri"/>
          <w:color w:val="000000"/>
          <w:sz w:val="28"/>
          <w:szCs w:val="28"/>
          <w:lang w:eastAsia="zh-TW"/>
        </w:rPr>
        <w:t>Au</w:t>
      </w:r>
      <w:r>
        <w:rPr>
          <w:rFonts w:ascii="新細明體" w:eastAsia="新細明體" w:hAnsi="新細明體" w:cs="Calibri"/>
          <w:color w:val="000000"/>
          <w:sz w:val="28"/>
          <w:szCs w:val="28"/>
          <w:lang w:eastAsia="zh-TW"/>
        </w:rPr>
        <w:t>），鉭（</w:t>
      </w:r>
      <w:r>
        <w:rPr>
          <w:rFonts w:ascii="新細明體" w:eastAsia="新細明體" w:hAnsi="新細明體" w:cs="Calibri"/>
          <w:color w:val="000000"/>
          <w:sz w:val="28"/>
          <w:szCs w:val="28"/>
          <w:lang w:eastAsia="zh-TW"/>
        </w:rPr>
        <w:t>Ta</w:t>
      </w:r>
      <w:r>
        <w:rPr>
          <w:rFonts w:ascii="新細明體" w:eastAsia="新細明體" w:hAnsi="新細明體" w:cs="Calibri"/>
          <w:color w:val="000000"/>
          <w:sz w:val="28"/>
          <w:szCs w:val="28"/>
          <w:lang w:eastAsia="zh-TW"/>
        </w:rPr>
        <w:t>），鎢（</w:t>
      </w:r>
      <w:r>
        <w:rPr>
          <w:rFonts w:ascii="新細明體" w:eastAsia="新細明體" w:hAnsi="新細明體" w:cs="Calibri"/>
          <w:color w:val="000000"/>
          <w:sz w:val="28"/>
          <w:szCs w:val="28"/>
          <w:lang w:eastAsia="zh-TW"/>
        </w:rPr>
        <w:t>W</w:t>
      </w:r>
      <w:r>
        <w:rPr>
          <w:rFonts w:ascii="新細明體" w:eastAsia="新細明體" w:hAnsi="新細明體" w:cs="Calibri"/>
          <w:color w:val="000000"/>
          <w:sz w:val="28"/>
          <w:szCs w:val="28"/>
          <w:lang w:eastAsia="zh-TW"/>
        </w:rPr>
        <w:t>）和錫（</w:t>
      </w:r>
      <w:r>
        <w:rPr>
          <w:rFonts w:ascii="新細明體" w:eastAsia="新細明體" w:hAnsi="新細明體" w:cs="Calibri"/>
          <w:color w:val="000000"/>
          <w:sz w:val="28"/>
          <w:szCs w:val="28"/>
          <w:lang w:eastAsia="zh-TW"/>
        </w:rPr>
        <w:t>Sn</w:t>
      </w:r>
      <w:r>
        <w:rPr>
          <w:rFonts w:ascii="新細明體" w:eastAsia="新細明體" w:hAnsi="新細明體" w:cs="Calibri"/>
          <w:color w:val="000000"/>
          <w:sz w:val="28"/>
          <w:szCs w:val="28"/>
          <w:lang w:eastAsia="zh-TW"/>
        </w:rPr>
        <w:t>）等金屬礦物，當地相關軍事團體取得的非法採礦利潤是從公民中盜竊得來的，且在剛果民主共和國東部造成侵犯人權，環境惡化。</w:t>
      </w:r>
    </w:p>
    <w:p w:rsidR="005A5A2F" w:rsidRDefault="00300F19">
      <w:pPr>
        <w:shd w:val="clear" w:color="auto" w:fill="FFFFFF"/>
        <w:rPr>
          <w:rFonts w:ascii="新細明體" w:hAnsi="新細明體" w:cstheme="minorHAnsi"/>
          <w:bCs/>
          <w:color w:val="000000"/>
          <w:sz w:val="28"/>
          <w:szCs w:val="28"/>
        </w:rPr>
      </w:pPr>
      <w:r>
        <w:rPr>
          <w:rFonts w:ascii="新細明體" w:eastAsia="新細明體" w:hAnsi="新細明體" w:cs="Calibri"/>
          <w:color w:val="4C4C4C"/>
          <w:sz w:val="28"/>
          <w:szCs w:val="28"/>
          <w:lang w:eastAsia="zh-TW"/>
        </w:rPr>
        <w:t> </w:t>
      </w:r>
      <w:r>
        <w:rPr>
          <w:rFonts w:ascii="新細明體" w:eastAsia="新細明體" w:hAnsi="新細明體" w:cs="Calibri"/>
          <w:color w:val="000000"/>
          <w:sz w:val="28"/>
          <w:szCs w:val="28"/>
          <w:lang w:eastAsia="zh-TW"/>
        </w:rPr>
        <w:t>此類不符合</w:t>
      </w:r>
      <w:r>
        <w:rPr>
          <w:rFonts w:ascii="新細明體" w:eastAsia="新細明體" w:hAnsi="新細明體" w:cs="Calibri"/>
          <w:color w:val="000000"/>
          <w:sz w:val="28"/>
          <w:szCs w:val="28"/>
          <w:lang w:eastAsia="zh-TW"/>
        </w:rPr>
        <w:t>“</w:t>
      </w:r>
      <w:r>
        <w:rPr>
          <w:rFonts w:ascii="新細明體" w:eastAsia="新細明體" w:hAnsi="新細明體" w:cs="Calibri"/>
          <w:color w:val="000000"/>
          <w:sz w:val="28"/>
          <w:szCs w:val="28"/>
          <w:lang w:eastAsia="zh-TW"/>
        </w:rPr>
        <w:t>無衝突規範</w:t>
      </w:r>
      <w:r>
        <w:rPr>
          <w:rFonts w:ascii="新細明體" w:eastAsia="新細明體" w:hAnsi="新細明體" w:cs="Calibri"/>
          <w:color w:val="000000"/>
          <w:sz w:val="28"/>
          <w:szCs w:val="28"/>
          <w:lang w:eastAsia="zh-TW"/>
        </w:rPr>
        <w:t>”</w:t>
      </w:r>
      <w:r>
        <w:rPr>
          <w:rFonts w:ascii="新細明體" w:eastAsia="新細明體" w:hAnsi="新細明體" w:cs="Calibri"/>
          <w:color w:val="000000"/>
          <w:sz w:val="28"/>
          <w:szCs w:val="28"/>
          <w:lang w:eastAsia="zh-TW"/>
        </w:rPr>
        <w:t>的地區的礦物產品除剛果民主共和國外，還包括盧旺達（</w:t>
      </w:r>
      <w:r>
        <w:rPr>
          <w:rFonts w:ascii="新細明體" w:eastAsia="新細明體" w:hAnsi="新細明體" w:cs="Calibri"/>
          <w:color w:val="000000"/>
          <w:sz w:val="28"/>
          <w:szCs w:val="28"/>
          <w:lang w:eastAsia="zh-TW"/>
        </w:rPr>
        <w:t>Rwanda</w:t>
      </w:r>
      <w:r>
        <w:rPr>
          <w:rFonts w:ascii="新細明體" w:eastAsia="新細明體" w:hAnsi="新細明體" w:cs="Calibri"/>
          <w:color w:val="000000"/>
          <w:sz w:val="28"/>
          <w:szCs w:val="28"/>
          <w:lang w:eastAsia="zh-TW"/>
        </w:rPr>
        <w:t>），</w:t>
      </w:r>
      <w:r>
        <w:rPr>
          <w:rFonts w:ascii="MS Mincho" w:eastAsia="MS Mincho" w:hAnsi="MS Mincho" w:cs="MS Mincho" w:hint="eastAsia"/>
          <w:color w:val="000000"/>
          <w:sz w:val="28"/>
          <w:szCs w:val="28"/>
          <w:lang w:eastAsia="zh-TW"/>
        </w:rPr>
        <w:t>​</w:t>
      </w:r>
      <w:r>
        <w:rPr>
          <w:rFonts w:ascii="新細明體" w:eastAsia="新細明體" w:hAnsi="新細明體" w:cs="Calibri"/>
          <w:color w:val="000000"/>
          <w:sz w:val="28"/>
          <w:szCs w:val="28"/>
          <w:lang w:eastAsia="zh-TW"/>
        </w:rPr>
        <w:t>烏干達（</w:t>
      </w:r>
      <w:r>
        <w:rPr>
          <w:rFonts w:ascii="新細明體" w:eastAsia="新細明體" w:hAnsi="新細明體" w:cs="Calibri"/>
          <w:color w:val="000000"/>
          <w:sz w:val="28"/>
          <w:szCs w:val="28"/>
          <w:lang w:eastAsia="zh-TW"/>
        </w:rPr>
        <w:t>Uganda</w:t>
      </w:r>
      <w:r>
        <w:rPr>
          <w:rFonts w:ascii="新細明體" w:eastAsia="新細明體" w:hAnsi="新細明體" w:cs="Calibri"/>
          <w:color w:val="000000"/>
          <w:sz w:val="28"/>
          <w:szCs w:val="28"/>
          <w:lang w:eastAsia="zh-TW"/>
        </w:rPr>
        <w:t>），布隆迪（</w:t>
      </w:r>
      <w:r>
        <w:rPr>
          <w:rFonts w:ascii="新細明體" w:eastAsia="新細明體" w:hAnsi="新細明體" w:cs="Calibri"/>
          <w:color w:val="000000"/>
          <w:sz w:val="28"/>
          <w:szCs w:val="28"/>
          <w:lang w:eastAsia="zh-TW"/>
        </w:rPr>
        <w:t>Burundi</w:t>
      </w:r>
      <w:r>
        <w:rPr>
          <w:rFonts w:ascii="新細明體" w:eastAsia="新細明體" w:hAnsi="新細明體" w:cs="Calibri"/>
          <w:color w:val="000000"/>
          <w:sz w:val="28"/>
          <w:szCs w:val="28"/>
          <w:lang w:eastAsia="zh-TW"/>
        </w:rPr>
        <w:t>），坦桑尼亞（</w:t>
      </w:r>
      <w:r>
        <w:rPr>
          <w:rFonts w:ascii="新細明體" w:eastAsia="新細明體" w:hAnsi="新細明體" w:cs="Calibri"/>
          <w:color w:val="000000"/>
          <w:sz w:val="28"/>
          <w:szCs w:val="28"/>
          <w:lang w:eastAsia="zh-TW"/>
        </w:rPr>
        <w:t>Tanzania</w:t>
      </w:r>
      <w:r>
        <w:rPr>
          <w:rFonts w:ascii="新細明體" w:eastAsia="新細明體" w:hAnsi="新細明體" w:cs="Calibri"/>
          <w:color w:val="000000"/>
          <w:sz w:val="28"/>
          <w:szCs w:val="28"/>
          <w:lang w:eastAsia="zh-TW"/>
        </w:rPr>
        <w:t>），肯亞（</w:t>
      </w:r>
      <w:r>
        <w:rPr>
          <w:rFonts w:ascii="新細明體" w:eastAsia="新細明體" w:hAnsi="新細明體" w:cs="Calibri"/>
          <w:color w:val="000000"/>
          <w:sz w:val="28"/>
          <w:szCs w:val="28"/>
          <w:lang w:eastAsia="zh-TW"/>
        </w:rPr>
        <w:t>Kenya</w:t>
      </w:r>
      <w:r>
        <w:rPr>
          <w:rFonts w:ascii="新細明體" w:eastAsia="新細明體" w:hAnsi="新細明體" w:cs="Calibri"/>
          <w:color w:val="000000"/>
          <w:sz w:val="28"/>
          <w:szCs w:val="28"/>
          <w:lang w:eastAsia="zh-TW"/>
        </w:rPr>
        <w:t>）等</w:t>
      </w:r>
      <w:r>
        <w:rPr>
          <w:rFonts w:ascii="新細明體" w:eastAsia="新細明體" w:hAnsi="新細明體" w:cs="Calibri" w:hint="eastAsia"/>
          <w:color w:val="000000"/>
          <w:sz w:val="28"/>
          <w:szCs w:val="28"/>
          <w:lang w:eastAsia="zh-TW"/>
        </w:rPr>
        <w:t>周边国家</w:t>
      </w:r>
      <w:r>
        <w:rPr>
          <w:rFonts w:ascii="新細明體" w:eastAsia="新細明體" w:hAnsi="新細明體" w:cs="Calibri" w:hint="eastAsia"/>
          <w:color w:val="000000"/>
          <w:sz w:val="28"/>
          <w:szCs w:val="28"/>
        </w:rPr>
        <w:t>,</w:t>
      </w:r>
      <w:r>
        <w:rPr>
          <w:rFonts w:ascii="新細明體" w:eastAsia="新細明體" w:hAnsi="新細明體" w:cstheme="minorHAnsi"/>
          <w:bCs/>
          <w:color w:val="000000"/>
          <w:sz w:val="28"/>
          <w:szCs w:val="28"/>
        </w:rPr>
        <w:t xml:space="preserve"> </w:t>
      </w:r>
      <w:r>
        <w:rPr>
          <w:rFonts w:ascii="新細明體" w:eastAsia="新細明體" w:hAnsi="新細明體" w:cstheme="minorHAnsi"/>
          <w:bCs/>
          <w:color w:val="000000"/>
          <w:sz w:val="28"/>
          <w:szCs w:val="28"/>
        </w:rPr>
        <w:t>以及任何</w:t>
      </w:r>
      <w:r>
        <w:rPr>
          <w:rFonts w:ascii="新細明體" w:eastAsia="新細明體" w:hAnsi="新細明體" w:cstheme="minorHAnsi"/>
          <w:bCs/>
          <w:color w:val="000000"/>
          <w:sz w:val="28"/>
          <w:szCs w:val="28"/>
        </w:rPr>
        <w:t>Conflict Affected and High-Risk Areas (“CAHRAs”)</w:t>
      </w:r>
      <w:r>
        <w:rPr>
          <w:rFonts w:ascii="新細明體" w:eastAsia="新細明體" w:hAnsi="新細明體" w:cstheme="minorHAnsi"/>
          <w:bCs/>
          <w:color w:val="000000"/>
          <w:sz w:val="28"/>
          <w:szCs w:val="28"/>
        </w:rPr>
        <w:t>。</w:t>
      </w:r>
    </w:p>
    <w:p w:rsidR="005A5A2F" w:rsidRDefault="005A5A2F">
      <w:pPr>
        <w:shd w:val="clear" w:color="auto" w:fill="FFFFFF"/>
        <w:rPr>
          <w:rFonts w:ascii="新細明體" w:hAnsi="新細明體" w:cs="Calibri"/>
          <w:strike/>
          <w:color w:val="000000"/>
          <w:sz w:val="28"/>
          <w:szCs w:val="28"/>
        </w:rPr>
      </w:pPr>
    </w:p>
    <w:p w:rsidR="005A5A2F" w:rsidRDefault="00300F19">
      <w:pPr>
        <w:shd w:val="clear" w:color="auto" w:fill="FFFFFF"/>
        <w:spacing w:after="240"/>
        <w:ind w:firstLine="480"/>
        <w:jc w:val="both"/>
        <w:rPr>
          <w:rFonts w:ascii="新細明體" w:eastAsia="新細明體" w:hAnsi="新細明體" w:cs="Calibri"/>
          <w:strike/>
          <w:color w:val="4C4C4C"/>
          <w:sz w:val="28"/>
          <w:szCs w:val="28"/>
          <w:lang w:eastAsia="zh-TW"/>
        </w:rPr>
      </w:pPr>
      <w:r>
        <w:rPr>
          <w:rFonts w:ascii="新細明體" w:eastAsia="新細明體" w:hAnsi="新細明體" w:cs="Calibri"/>
          <w:color w:val="000000"/>
          <w:sz w:val="28"/>
          <w:szCs w:val="28"/>
          <w:lang w:eastAsia="zh-TW"/>
        </w:rPr>
        <w:t>該部分金屬礦產已經成為非洲剛果民主共和國武裝叛亂團體的主要財源，用來交易軍火、延續其與政府間的血腥衝突、蹂躪當地平民，因此引發國際爭議。</w:t>
      </w:r>
    </w:p>
    <w:p w:rsidR="005A5A2F" w:rsidRDefault="00300F19">
      <w:pPr>
        <w:autoSpaceDE w:val="0"/>
        <w:autoSpaceDN w:val="0"/>
        <w:adjustRightInd w:val="0"/>
        <w:rPr>
          <w:rFonts w:ascii="新細明體" w:eastAsia="新細明體" w:hAnsi="新細明體" w:cstheme="minorHAnsi"/>
          <w:color w:val="000000"/>
          <w:sz w:val="28"/>
          <w:szCs w:val="28"/>
        </w:rPr>
      </w:pPr>
      <w:r>
        <w:rPr>
          <w:rFonts w:ascii="新細明體" w:eastAsia="新細明體" w:hAnsi="新細明體" w:cstheme="minorHAnsi" w:hint="eastAsia"/>
          <w:color w:val="000000"/>
          <w:sz w:val="28"/>
          <w:szCs w:val="28"/>
        </w:rPr>
        <w:t>厦门台和电子有限公司</w:t>
      </w:r>
      <w:r>
        <w:rPr>
          <w:rFonts w:ascii="新細明體" w:eastAsia="新細明體" w:hAnsi="新細明體" w:cstheme="minorHAnsi"/>
          <w:color w:val="000000"/>
          <w:sz w:val="28"/>
          <w:szCs w:val="28"/>
        </w:rPr>
        <w:t>认识到</w:t>
      </w:r>
      <w:hyperlink r:id="rId7" w:history="1">
        <w:r>
          <w:rPr>
            <w:rFonts w:ascii="新細明體" w:eastAsia="新細明體" w:hAnsi="新細明體" w:cstheme="minorHAnsi"/>
            <w:color w:val="000000"/>
            <w:sz w:val="28"/>
            <w:szCs w:val="28"/>
            <w:u w:val="single"/>
          </w:rPr>
          <w:t>《经济合作与发展组织关于来自受冲突影响和高风险区域的矿石的负责任供应链尽职调查指南》</w:t>
        </w:r>
      </w:hyperlink>
      <w:r>
        <w:rPr>
          <w:rFonts w:ascii="新細明體" w:eastAsia="新細明體" w:hAnsi="新細明體" w:cstheme="minorHAnsi"/>
          <w:color w:val="000000"/>
          <w:sz w:val="28"/>
          <w:szCs w:val="28"/>
        </w:rPr>
        <w:t>（</w:t>
      </w:r>
      <w:r>
        <w:rPr>
          <w:rFonts w:ascii="新細明體" w:eastAsia="新細明體" w:hAnsi="新細明體" w:cstheme="minorHAnsi"/>
          <w:color w:val="000000"/>
          <w:sz w:val="28"/>
          <w:szCs w:val="28"/>
        </w:rPr>
        <w:t xml:space="preserve">OECD </w:t>
      </w:r>
      <w:r>
        <w:rPr>
          <w:rFonts w:ascii="新細明體" w:eastAsia="新細明體" w:hAnsi="新細明體" w:cstheme="minorHAnsi"/>
          <w:color w:val="000000"/>
          <w:sz w:val="28"/>
          <w:szCs w:val="28"/>
        </w:rPr>
        <w:t>Annex II Model Supply Chain Policy</w:t>
      </w:r>
      <w:r>
        <w:rPr>
          <w:rFonts w:ascii="新細明體" w:eastAsia="新細明體" w:hAnsi="新細明體" w:cstheme="minorHAnsi"/>
          <w:color w:val="000000"/>
          <w:sz w:val="28"/>
          <w:szCs w:val="28"/>
        </w:rPr>
        <w:t>）提到的在高风险地区开采，交易，运输，出口矿产的各项风险。</w:t>
      </w:r>
      <w:r>
        <w:rPr>
          <w:rFonts w:ascii="新細明體" w:eastAsia="新細明體" w:hAnsi="新細明體" w:cstheme="minorHAnsi" w:hint="eastAsia"/>
          <w:color w:val="000000"/>
          <w:sz w:val="28"/>
          <w:szCs w:val="28"/>
        </w:rPr>
        <w:t>厦门台和电子有限公司</w:t>
      </w:r>
      <w:r>
        <w:rPr>
          <w:rFonts w:ascii="新細明體" w:eastAsia="新細明體" w:hAnsi="新細明體" w:cstheme="minorHAnsi"/>
          <w:color w:val="000000"/>
          <w:sz w:val="28"/>
          <w:szCs w:val="28"/>
        </w:rPr>
        <w:t>秉承尊重人权，不助长冲突的业务，特此制定受冲突影响和高风险区域矿石全球负责任供应链示范政策。</w:t>
      </w:r>
    </w:p>
    <w:p w:rsidR="005A5A2F" w:rsidRDefault="005A5A2F">
      <w:pPr>
        <w:autoSpaceDE w:val="0"/>
        <w:autoSpaceDN w:val="0"/>
        <w:adjustRightInd w:val="0"/>
        <w:rPr>
          <w:rFonts w:ascii="新細明體" w:eastAsia="新細明體" w:hAnsi="新細明體" w:cstheme="minorHAnsi"/>
          <w:color w:val="000000"/>
          <w:sz w:val="28"/>
          <w:szCs w:val="28"/>
        </w:rPr>
      </w:pPr>
    </w:p>
    <w:p w:rsidR="005A5A2F" w:rsidRDefault="00300F19">
      <w:pPr>
        <w:autoSpaceDE w:val="0"/>
        <w:autoSpaceDN w:val="0"/>
        <w:adjustRightInd w:val="0"/>
        <w:rPr>
          <w:rFonts w:ascii="新細明體" w:eastAsia="新細明體" w:hAnsi="新細明體" w:cstheme="minorHAnsi"/>
          <w:bCs/>
          <w:color w:val="000000"/>
          <w:sz w:val="28"/>
          <w:szCs w:val="28"/>
        </w:rPr>
      </w:pPr>
      <w:r>
        <w:rPr>
          <w:rFonts w:ascii="新細明體" w:eastAsia="新細明體" w:hAnsi="新細明體" w:cstheme="minorHAnsi"/>
          <w:bCs/>
          <w:color w:val="000000"/>
          <w:sz w:val="28"/>
          <w:szCs w:val="28"/>
        </w:rPr>
        <w:t>政策正文：</w:t>
      </w:r>
    </w:p>
    <w:p w:rsidR="005A5A2F" w:rsidRDefault="00300F19">
      <w:pPr>
        <w:autoSpaceDE w:val="0"/>
        <w:autoSpaceDN w:val="0"/>
        <w:adjustRightInd w:val="0"/>
        <w:rPr>
          <w:rFonts w:ascii="新細明體" w:eastAsia="新細明體" w:hAnsi="新細明體" w:cstheme="minorHAnsi"/>
          <w:color w:val="000000"/>
          <w:sz w:val="28"/>
          <w:szCs w:val="28"/>
        </w:rPr>
      </w:pPr>
      <w:r>
        <w:rPr>
          <w:rFonts w:ascii="新細明體" w:eastAsia="新細明體" w:hAnsi="新細明體" w:cstheme="minorHAnsi" w:hint="eastAsia"/>
          <w:color w:val="000000"/>
          <w:sz w:val="28"/>
          <w:szCs w:val="28"/>
        </w:rPr>
        <w:t>厦门台和电子</w:t>
      </w:r>
      <w:r>
        <w:rPr>
          <w:rFonts w:ascii="新細明體" w:eastAsia="新細明體" w:hAnsi="新細明體" w:cstheme="minorHAnsi"/>
          <w:color w:val="000000"/>
          <w:sz w:val="28"/>
          <w:szCs w:val="28"/>
        </w:rPr>
        <w:t>为响应</w:t>
      </w:r>
      <w:hyperlink r:id="rId8" w:history="1">
        <w:r>
          <w:rPr>
            <w:rFonts w:ascii="新細明體" w:eastAsia="新細明體" w:hAnsi="新細明體" w:cstheme="minorHAnsi"/>
            <w:color w:val="000000"/>
            <w:sz w:val="28"/>
            <w:szCs w:val="28"/>
            <w:u w:val="single"/>
          </w:rPr>
          <w:t>《经济合作与发展组织关于来自受冲突影响和高风险区域的矿石的负责任供应链尽职调查指南》</w:t>
        </w:r>
      </w:hyperlink>
      <w:r>
        <w:rPr>
          <w:rFonts w:ascii="新細明體" w:eastAsia="新細明體" w:hAnsi="新細明體" w:cstheme="minorHAnsi"/>
          <w:color w:val="000000"/>
          <w:sz w:val="28"/>
          <w:szCs w:val="28"/>
        </w:rPr>
        <w:t>（</w:t>
      </w:r>
      <w:r>
        <w:rPr>
          <w:rFonts w:ascii="新細明體" w:eastAsia="新細明體" w:hAnsi="新細明體" w:cstheme="minorHAnsi"/>
          <w:color w:val="000000"/>
          <w:sz w:val="28"/>
          <w:szCs w:val="28"/>
        </w:rPr>
        <w:t>OECD Ann</w:t>
      </w:r>
      <w:r>
        <w:rPr>
          <w:rFonts w:ascii="新細明體" w:eastAsia="新細明體" w:hAnsi="新細明體" w:cstheme="minorHAnsi"/>
          <w:color w:val="000000"/>
          <w:sz w:val="28"/>
          <w:szCs w:val="28"/>
        </w:rPr>
        <w:t>ex II Model Supply Chain Policy</w:t>
      </w:r>
      <w:r>
        <w:rPr>
          <w:rFonts w:ascii="新細明體" w:eastAsia="新細明體" w:hAnsi="新細明體" w:cstheme="minorHAnsi"/>
          <w:color w:val="000000"/>
          <w:sz w:val="28"/>
          <w:szCs w:val="28"/>
        </w:rPr>
        <w:t>）中提到的各项风险，承诺</w:t>
      </w:r>
      <w:r>
        <w:rPr>
          <w:rFonts w:ascii="新細明體" w:eastAsia="新細明體" w:hAnsi="新細明體" w:cstheme="minorHAnsi" w:hint="eastAsia"/>
          <w:color w:val="000000"/>
          <w:sz w:val="28"/>
          <w:szCs w:val="28"/>
        </w:rPr>
        <w:t>:</w:t>
      </w:r>
    </w:p>
    <w:p w:rsidR="005A5A2F" w:rsidRDefault="00300F19">
      <w:pPr>
        <w:pStyle w:val="a5"/>
        <w:numPr>
          <w:ilvl w:val="0"/>
          <w:numId w:val="1"/>
        </w:numPr>
        <w:tabs>
          <w:tab w:val="left" w:pos="20"/>
          <w:tab w:val="left" w:pos="360"/>
        </w:tabs>
        <w:autoSpaceDE w:val="0"/>
        <w:autoSpaceDN w:val="0"/>
        <w:adjustRightInd w:val="0"/>
        <w:ind w:leftChars="0"/>
        <w:rPr>
          <w:rFonts w:ascii="新細明體" w:eastAsia="新細明體" w:hAnsi="新細明體" w:cstheme="minorHAnsi"/>
          <w:color w:val="000000"/>
          <w:sz w:val="28"/>
          <w:szCs w:val="28"/>
        </w:rPr>
      </w:pPr>
      <w:r>
        <w:rPr>
          <w:rFonts w:ascii="新細明體" w:eastAsia="新細明體" w:hAnsi="新細明體" w:cstheme="minorHAnsi"/>
          <w:color w:val="000000"/>
          <w:sz w:val="28"/>
          <w:szCs w:val="28"/>
        </w:rPr>
        <w:t>不容忍与矿产开采、运输、或贸易有关的严重侵权行为</w:t>
      </w:r>
    </w:p>
    <w:p w:rsidR="005A5A2F" w:rsidRDefault="00300F19">
      <w:pPr>
        <w:pStyle w:val="a5"/>
        <w:numPr>
          <w:ilvl w:val="0"/>
          <w:numId w:val="1"/>
        </w:numPr>
        <w:tabs>
          <w:tab w:val="left" w:pos="20"/>
          <w:tab w:val="left" w:pos="360"/>
        </w:tabs>
        <w:autoSpaceDE w:val="0"/>
        <w:autoSpaceDN w:val="0"/>
        <w:adjustRightInd w:val="0"/>
        <w:ind w:leftChars="0"/>
        <w:rPr>
          <w:rFonts w:ascii="新細明體" w:eastAsia="新細明體" w:hAnsi="新細明體" w:cstheme="minorHAnsi"/>
          <w:color w:val="000000"/>
          <w:sz w:val="28"/>
          <w:szCs w:val="28"/>
        </w:rPr>
      </w:pPr>
      <w:r>
        <w:rPr>
          <w:rFonts w:ascii="新細明體" w:eastAsia="新細明體" w:hAnsi="新細明體" w:cstheme="minorHAnsi"/>
          <w:color w:val="000000"/>
          <w:sz w:val="28"/>
          <w:szCs w:val="28"/>
        </w:rPr>
        <w:t>抵制直接或间接支持非国家武装团体</w:t>
      </w:r>
    </w:p>
    <w:p w:rsidR="005A5A2F" w:rsidRDefault="00300F19">
      <w:pPr>
        <w:pStyle w:val="a5"/>
        <w:numPr>
          <w:ilvl w:val="0"/>
          <w:numId w:val="1"/>
        </w:numPr>
        <w:tabs>
          <w:tab w:val="left" w:pos="20"/>
          <w:tab w:val="left" w:pos="360"/>
        </w:tabs>
        <w:autoSpaceDE w:val="0"/>
        <w:autoSpaceDN w:val="0"/>
        <w:adjustRightInd w:val="0"/>
        <w:ind w:leftChars="0"/>
        <w:rPr>
          <w:rFonts w:ascii="新細明體" w:eastAsia="新細明體" w:hAnsi="新細明體" w:cstheme="minorHAnsi"/>
          <w:color w:val="000000"/>
          <w:sz w:val="28"/>
          <w:szCs w:val="28"/>
        </w:rPr>
      </w:pPr>
      <w:r>
        <w:rPr>
          <w:rFonts w:ascii="新細明體" w:eastAsia="新細明體" w:hAnsi="新細明體" w:cstheme="minorHAnsi"/>
          <w:color w:val="000000"/>
          <w:sz w:val="28"/>
          <w:szCs w:val="28"/>
        </w:rPr>
        <w:t>实施对公共或私人安全武装的风险管理</w:t>
      </w:r>
    </w:p>
    <w:p w:rsidR="005A5A2F" w:rsidRDefault="00300F19">
      <w:pPr>
        <w:pStyle w:val="a5"/>
        <w:numPr>
          <w:ilvl w:val="0"/>
          <w:numId w:val="1"/>
        </w:numPr>
        <w:tabs>
          <w:tab w:val="left" w:pos="20"/>
          <w:tab w:val="left" w:pos="360"/>
        </w:tabs>
        <w:autoSpaceDE w:val="0"/>
        <w:autoSpaceDN w:val="0"/>
        <w:adjustRightInd w:val="0"/>
        <w:ind w:leftChars="0"/>
        <w:rPr>
          <w:rFonts w:ascii="新細明體" w:eastAsia="新細明體" w:hAnsi="新細明體" w:cstheme="minorHAnsi"/>
          <w:color w:val="000000"/>
          <w:sz w:val="28"/>
          <w:szCs w:val="28"/>
        </w:rPr>
      </w:pPr>
      <w:r>
        <w:rPr>
          <w:rFonts w:ascii="新細明體" w:eastAsia="新細明體" w:hAnsi="新細明體" w:cstheme="minorHAnsi"/>
          <w:color w:val="000000"/>
          <w:sz w:val="28"/>
          <w:szCs w:val="28"/>
        </w:rPr>
        <w:t>抵制行贿受贿及矿产原产地的欺诈性失实陈述以及洗钱行为，</w:t>
      </w:r>
      <w:r>
        <w:rPr>
          <w:rFonts w:ascii="新細明體" w:eastAsia="新細明體" w:hAnsi="新細明體" w:cstheme="minorHAnsi"/>
          <w:color w:val="000000"/>
          <w:sz w:val="28"/>
          <w:szCs w:val="28"/>
        </w:rPr>
        <w:t xml:space="preserve"> </w:t>
      </w:r>
      <w:r>
        <w:rPr>
          <w:rFonts w:ascii="新細明體" w:eastAsia="新細明體" w:hAnsi="新細明體" w:cstheme="minorHAnsi"/>
          <w:color w:val="000000"/>
          <w:sz w:val="28"/>
          <w:szCs w:val="28"/>
        </w:rPr>
        <w:t>并对行贿受贿及矿产原产地的欺诈性失实陈述、洗钱及向政府支付的税收、费用、特许费的风险管理。</w:t>
      </w:r>
    </w:p>
    <w:p w:rsidR="005A5A2F" w:rsidRDefault="00300F19">
      <w:pPr>
        <w:pStyle w:val="a5"/>
        <w:numPr>
          <w:ilvl w:val="0"/>
          <w:numId w:val="1"/>
        </w:numPr>
        <w:tabs>
          <w:tab w:val="left" w:pos="20"/>
          <w:tab w:val="left" w:pos="360"/>
        </w:tabs>
        <w:autoSpaceDE w:val="0"/>
        <w:autoSpaceDN w:val="0"/>
        <w:adjustRightInd w:val="0"/>
        <w:ind w:leftChars="0"/>
        <w:rPr>
          <w:rFonts w:ascii="新細明體" w:eastAsia="新細明體" w:hAnsi="新細明體" w:cstheme="minorHAnsi"/>
          <w:color w:val="000000"/>
          <w:sz w:val="28"/>
          <w:szCs w:val="28"/>
        </w:rPr>
      </w:pPr>
      <w:r>
        <w:rPr>
          <w:rFonts w:ascii="新細明體" w:eastAsia="新細明體" w:hAnsi="新細明體" w:cstheme="minorHAnsi"/>
          <w:color w:val="000000"/>
          <w:sz w:val="28"/>
          <w:szCs w:val="28"/>
        </w:rPr>
        <w:t>确保向政府支付所有与受冲突影响和高风险区域矿石开采、贸易、</w:t>
      </w:r>
      <w:r>
        <w:rPr>
          <w:rFonts w:ascii="新細明體" w:eastAsia="新細明體" w:hAnsi="新細明體" w:cstheme="minorHAnsi"/>
          <w:color w:val="000000"/>
          <w:sz w:val="28"/>
          <w:szCs w:val="28"/>
        </w:rPr>
        <w:t xml:space="preserve"> </w:t>
      </w:r>
      <w:r>
        <w:rPr>
          <w:rFonts w:ascii="新細明體" w:eastAsia="新細明體" w:hAnsi="新細明體" w:cstheme="minorHAnsi"/>
          <w:color w:val="000000"/>
          <w:sz w:val="28"/>
          <w:szCs w:val="28"/>
        </w:rPr>
        <w:t>出口相关的合法税收、费用和特许费，并且承诺根据企业在供应链上所</w:t>
      </w:r>
      <w:r>
        <w:rPr>
          <w:rFonts w:ascii="新細明體" w:eastAsia="新細明體" w:hAnsi="新細明體" w:cstheme="minorHAnsi"/>
          <w:color w:val="000000"/>
          <w:sz w:val="28"/>
          <w:szCs w:val="28"/>
        </w:rPr>
        <w:t xml:space="preserve"> </w:t>
      </w:r>
      <w:r>
        <w:rPr>
          <w:rFonts w:ascii="新細明體" w:eastAsia="新細明體" w:hAnsi="新細明體" w:cstheme="minorHAnsi"/>
          <w:color w:val="000000"/>
          <w:sz w:val="28"/>
          <w:szCs w:val="28"/>
        </w:rPr>
        <w:t>处位置依照《采掘行业透明度行动</w:t>
      </w:r>
      <w:r>
        <w:rPr>
          <w:rFonts w:ascii="新細明體" w:eastAsia="新細明體" w:hAnsi="新細明體" w:cstheme="minorHAnsi"/>
          <w:color w:val="000000"/>
          <w:sz w:val="28"/>
          <w:szCs w:val="28"/>
        </w:rPr>
        <w:t>计划》（</w:t>
      </w:r>
      <w:r>
        <w:rPr>
          <w:rFonts w:ascii="新細明體" w:eastAsia="新細明體" w:hAnsi="新細明體" w:cstheme="minorHAnsi"/>
          <w:color w:val="000000"/>
          <w:sz w:val="28"/>
          <w:szCs w:val="28"/>
        </w:rPr>
        <w:t>EITI</w:t>
      </w:r>
      <w:r>
        <w:rPr>
          <w:rFonts w:ascii="新細明體" w:eastAsia="新細明體" w:hAnsi="新細明體" w:cstheme="minorHAnsi"/>
          <w:color w:val="000000"/>
          <w:sz w:val="28"/>
          <w:szCs w:val="28"/>
        </w:rPr>
        <w:t>）中的各项原则对此类支付进行披露。</w:t>
      </w:r>
    </w:p>
    <w:p w:rsidR="005A5A2F" w:rsidRDefault="005A5A2F">
      <w:pPr>
        <w:pStyle w:val="a5"/>
        <w:tabs>
          <w:tab w:val="left" w:pos="20"/>
          <w:tab w:val="left" w:pos="360"/>
        </w:tabs>
        <w:autoSpaceDE w:val="0"/>
        <w:autoSpaceDN w:val="0"/>
        <w:adjustRightInd w:val="0"/>
        <w:ind w:leftChars="0"/>
        <w:rPr>
          <w:rFonts w:ascii="新細明體" w:eastAsia="新細明體" w:hAnsi="新細明體" w:cstheme="minorHAnsi"/>
          <w:color w:val="000000"/>
          <w:sz w:val="28"/>
          <w:szCs w:val="28"/>
        </w:rPr>
      </w:pPr>
    </w:p>
    <w:p w:rsidR="005A5A2F" w:rsidRDefault="00300F19">
      <w:pPr>
        <w:tabs>
          <w:tab w:val="left" w:pos="20"/>
          <w:tab w:val="left" w:pos="360"/>
        </w:tabs>
        <w:autoSpaceDE w:val="0"/>
        <w:autoSpaceDN w:val="0"/>
        <w:adjustRightInd w:val="0"/>
        <w:rPr>
          <w:rFonts w:ascii="新細明體" w:eastAsia="新細明體" w:hAnsi="新細明體" w:cstheme="minorHAnsi"/>
          <w:color w:val="000000"/>
          <w:sz w:val="28"/>
          <w:szCs w:val="28"/>
        </w:rPr>
      </w:pPr>
      <w:r>
        <w:rPr>
          <w:rFonts w:ascii="新細明體" w:eastAsia="新細明體" w:hAnsi="新細明體" w:cstheme="minorHAnsi" w:hint="eastAsia"/>
          <w:color w:val="000000"/>
          <w:sz w:val="28"/>
          <w:szCs w:val="28"/>
        </w:rPr>
        <w:t>以上政策</w:t>
      </w:r>
      <w:r>
        <w:rPr>
          <w:rFonts w:ascii="新細明體" w:eastAsia="新細明體" w:hAnsi="新細明體" w:cstheme="minorHAnsi" w:hint="eastAsia"/>
          <w:color w:val="000000"/>
          <w:sz w:val="28"/>
          <w:szCs w:val="28"/>
        </w:rPr>
        <w:t>,</w:t>
      </w:r>
      <w:r>
        <w:rPr>
          <w:rFonts w:ascii="新細明體" w:eastAsia="新細明體" w:hAnsi="新細明體" w:cstheme="minorHAnsi" w:hint="eastAsia"/>
          <w:color w:val="000000"/>
          <w:sz w:val="28"/>
          <w:szCs w:val="28"/>
        </w:rPr>
        <w:t>同步要求至厦门台和电子有限公司的所有供应商</w:t>
      </w:r>
      <w:r>
        <w:rPr>
          <w:rFonts w:ascii="新細明體" w:eastAsia="新細明體" w:hAnsi="新細明體" w:cstheme="minorHAnsi" w:hint="eastAsia"/>
          <w:color w:val="000000"/>
          <w:sz w:val="28"/>
          <w:szCs w:val="28"/>
        </w:rPr>
        <w:t>.</w:t>
      </w:r>
    </w:p>
    <w:p w:rsidR="005A5A2F" w:rsidRDefault="00300F19">
      <w:pPr>
        <w:shd w:val="clear" w:color="auto" w:fill="FFFFFF"/>
        <w:spacing w:after="240"/>
        <w:ind w:firstLine="480"/>
        <w:jc w:val="both"/>
        <w:rPr>
          <w:rFonts w:ascii="新細明體" w:eastAsia="新細明體" w:hAnsi="新細明體"/>
          <w:color w:val="000000"/>
          <w:sz w:val="28"/>
          <w:szCs w:val="28"/>
          <w:lang w:eastAsia="zh-TW"/>
        </w:rPr>
      </w:pPr>
      <w:r>
        <w:rPr>
          <w:rFonts w:ascii="新細明體" w:eastAsia="新細明體" w:hAnsi="新細明體" w:cs="Calibri"/>
          <w:color w:val="000000"/>
          <w:sz w:val="28"/>
          <w:szCs w:val="28"/>
          <w:lang w:eastAsia="zh-TW"/>
        </w:rPr>
        <w:lastRenderedPageBreak/>
        <w:t>Conflict Minerals</w:t>
      </w:r>
      <w:r>
        <w:rPr>
          <w:rFonts w:ascii="新細明體" w:eastAsia="SimSun" w:hAnsi="新細明體" w:cs="Calibri" w:hint="eastAsia"/>
          <w:color w:val="000000"/>
          <w:sz w:val="28"/>
          <w:szCs w:val="28"/>
        </w:rPr>
        <w:t xml:space="preserve"> Policy</w:t>
      </w:r>
      <w:r>
        <w:rPr>
          <w:rFonts w:ascii="新細明體" w:eastAsia="新細明體" w:hAnsi="新細明體" w:cs="Calibri"/>
          <w:color w:val="000000"/>
          <w:sz w:val="28"/>
          <w:szCs w:val="28"/>
          <w:lang w:val="en-MY" w:eastAsia="zh-TW"/>
        </w:rPr>
        <w:t xml:space="preserve"> (CM)</w:t>
      </w:r>
      <w:r>
        <w:rPr>
          <w:rFonts w:ascii="新細明體" w:eastAsia="新細明體" w:hAnsi="新細明體" w:cs="Calibri"/>
          <w:color w:val="000000"/>
          <w:sz w:val="28"/>
          <w:szCs w:val="28"/>
          <w:lang w:eastAsia="zh-TW"/>
        </w:rPr>
        <w:t xml:space="preserve"> come from the Democratic Republic of Congo and surrounding countries and include </w:t>
      </w:r>
      <w:r>
        <w:rPr>
          <w:rFonts w:ascii="新細明體" w:eastAsia="新細明體" w:hAnsi="新細明體" w:cs="Calibri"/>
          <w:color w:val="000000"/>
          <w:sz w:val="28"/>
          <w:szCs w:val="28"/>
          <w:lang w:val="en-MY" w:eastAsia="zh-TW"/>
        </w:rPr>
        <w:t>m</w:t>
      </w:r>
      <w:r>
        <w:rPr>
          <w:rFonts w:ascii="新細明體" w:eastAsia="新細明體" w:hAnsi="新細明體"/>
          <w:color w:val="000000"/>
          <w:sz w:val="28"/>
          <w:szCs w:val="28"/>
          <w:lang w:eastAsia="zh-TW"/>
        </w:rPr>
        <w:t>etallic minerals such as gold (Au), tantalum (Ta), tungsten (W) and tin (Sn)</w:t>
      </w:r>
      <w:r>
        <w:rPr>
          <w:rFonts w:ascii="新細明體" w:eastAsia="新細明體" w:hAnsi="新細明體" w:cs="Calibri"/>
          <w:color w:val="000000"/>
          <w:sz w:val="28"/>
          <w:szCs w:val="28"/>
          <w:lang w:eastAsia="zh-TW"/>
        </w:rPr>
        <w:t xml:space="preserve">. </w:t>
      </w:r>
      <w:r>
        <w:rPr>
          <w:rFonts w:ascii="新細明體" w:eastAsia="新細明體" w:hAnsi="新細明體" w:cs="Calibri"/>
          <w:color w:val="000000"/>
          <w:sz w:val="28"/>
          <w:szCs w:val="28"/>
          <w:lang w:val="en-MY" w:eastAsia="zh-TW"/>
        </w:rPr>
        <w:t xml:space="preserve"> </w:t>
      </w:r>
      <w:r>
        <w:rPr>
          <w:rFonts w:ascii="新細明體" w:eastAsia="新細明體" w:hAnsi="新細明體"/>
          <w:color w:val="000000"/>
          <w:sz w:val="28"/>
          <w:szCs w:val="28"/>
          <w:lang w:eastAsia="zh-TW"/>
        </w:rPr>
        <w:t xml:space="preserve">The </w:t>
      </w:r>
      <w:r>
        <w:rPr>
          <w:rFonts w:ascii="新細明體" w:eastAsia="新細明體" w:hAnsi="新細明體"/>
          <w:color w:val="000000"/>
          <w:sz w:val="28"/>
          <w:szCs w:val="28"/>
          <w:lang w:eastAsia="zh-TW"/>
        </w:rPr>
        <w:t>illegal mining profits obtained by the local milit</w:t>
      </w:r>
      <w:r>
        <w:rPr>
          <w:rFonts w:ascii="新細明體" w:eastAsia="新細明體" w:hAnsi="新細明體"/>
          <w:color w:val="000000"/>
          <w:sz w:val="28"/>
          <w:szCs w:val="28"/>
          <w:lang w:val="en-MY" w:eastAsia="zh-TW"/>
        </w:rPr>
        <w:t>ant</w:t>
      </w:r>
      <w:r>
        <w:rPr>
          <w:rFonts w:ascii="新細明體" w:eastAsia="新細明體" w:hAnsi="新細明體"/>
          <w:color w:val="000000"/>
          <w:sz w:val="28"/>
          <w:szCs w:val="28"/>
          <w:lang w:eastAsia="zh-TW"/>
        </w:rPr>
        <w:t xml:space="preserve"> groups are stolen from citizens and are causing humanitarian abuses involved and environmental devastation in the eastern part of the Democratic Republic of the Congo.</w:t>
      </w:r>
    </w:p>
    <w:p w:rsidR="005A5A2F" w:rsidRDefault="00300F19">
      <w:pPr>
        <w:shd w:val="clear" w:color="auto" w:fill="FFFFFF"/>
        <w:spacing w:after="240"/>
        <w:ind w:firstLine="480"/>
        <w:jc w:val="both"/>
        <w:rPr>
          <w:rFonts w:ascii="新細明體" w:eastAsia="新細明體" w:hAnsi="新細明體"/>
          <w:color w:val="000000"/>
          <w:sz w:val="28"/>
          <w:szCs w:val="28"/>
          <w:lang w:eastAsia="zh-TW"/>
        </w:rPr>
      </w:pPr>
      <w:r>
        <w:rPr>
          <w:rFonts w:ascii="新細明體" w:eastAsia="新細明體" w:hAnsi="新細明體" w:hint="eastAsia"/>
          <w:color w:val="000000"/>
          <w:sz w:val="28"/>
          <w:szCs w:val="28"/>
          <w:lang w:eastAsia="zh-TW"/>
        </w:rPr>
        <w:t xml:space="preserve">This category of mineral products </w:t>
      </w:r>
      <w:r>
        <w:rPr>
          <w:rFonts w:ascii="新細明體" w:eastAsia="新細明體" w:hAnsi="新細明體" w:hint="eastAsia"/>
          <w:color w:val="000000"/>
          <w:sz w:val="28"/>
          <w:szCs w:val="28"/>
          <w:lang w:eastAsia="zh-TW"/>
        </w:rPr>
        <w:t xml:space="preserve">that do not meet the Conflict </w:t>
      </w:r>
      <w:r>
        <w:rPr>
          <w:rFonts w:ascii="新細明體" w:eastAsia="新細明體" w:hAnsi="新細明體"/>
          <w:color w:val="000000"/>
          <w:sz w:val="28"/>
          <w:szCs w:val="28"/>
          <w:lang w:val="en-MY" w:eastAsia="zh-TW"/>
        </w:rPr>
        <w:t>Minerals Policy</w:t>
      </w:r>
      <w:r>
        <w:rPr>
          <w:rFonts w:ascii="新細明體" w:eastAsia="新細明體" w:hAnsi="新細明體" w:hint="eastAsia"/>
          <w:color w:val="000000"/>
          <w:sz w:val="28"/>
          <w:szCs w:val="28"/>
          <w:lang w:eastAsia="zh-TW"/>
        </w:rPr>
        <w:t xml:space="preserve"> includes, in addition to the Democratic Republic of the Congo, neighboring countries such as Rwanda, Uganda, Burundi, Tanzania, Kenya, and any Conflict Affected and High-Risk Areas ("CAHRAs").</w:t>
      </w:r>
    </w:p>
    <w:p w:rsidR="005A5A2F" w:rsidRDefault="00300F19">
      <w:pPr>
        <w:shd w:val="clear" w:color="auto" w:fill="FFFFFF"/>
        <w:spacing w:after="240"/>
        <w:ind w:firstLine="480"/>
        <w:jc w:val="both"/>
        <w:rPr>
          <w:rFonts w:ascii="新細明體" w:eastAsia="新細明體" w:hAnsi="新細明體"/>
          <w:color w:val="000000"/>
          <w:sz w:val="28"/>
          <w:szCs w:val="28"/>
          <w:lang w:eastAsia="zh-TW"/>
        </w:rPr>
      </w:pPr>
      <w:r>
        <w:rPr>
          <w:rFonts w:ascii="新細明體" w:eastAsia="新細明體" w:hAnsi="新細明體" w:hint="eastAsia"/>
          <w:color w:val="000000"/>
          <w:sz w:val="28"/>
          <w:szCs w:val="28"/>
          <w:lang w:eastAsia="zh-TW"/>
        </w:rPr>
        <w:t>The metal mineral</w:t>
      </w:r>
      <w:r>
        <w:rPr>
          <w:rFonts w:ascii="新細明體" w:eastAsia="新細明體" w:hAnsi="新細明體" w:hint="eastAsia"/>
          <w:color w:val="000000"/>
          <w:sz w:val="28"/>
          <w:szCs w:val="28"/>
          <w:lang w:eastAsia="zh-TW"/>
        </w:rPr>
        <w:t>s have become a major source of finance for armed rebel groups in the Democratic Republic of the Congo in Africa, trading arms, perpetuating bloody conflicts with the government and raping the local civilian population, thus sparking international controve</w:t>
      </w:r>
      <w:r>
        <w:rPr>
          <w:rFonts w:ascii="新細明體" w:eastAsia="新細明體" w:hAnsi="新細明體" w:hint="eastAsia"/>
          <w:color w:val="000000"/>
          <w:sz w:val="28"/>
          <w:szCs w:val="28"/>
          <w:lang w:eastAsia="zh-TW"/>
        </w:rPr>
        <w:t>rsy.</w:t>
      </w:r>
    </w:p>
    <w:p w:rsidR="005A5A2F" w:rsidRDefault="00300F19">
      <w:pPr>
        <w:shd w:val="clear" w:color="auto" w:fill="FFFFFF"/>
        <w:spacing w:after="240"/>
        <w:ind w:firstLine="480"/>
        <w:jc w:val="both"/>
        <w:rPr>
          <w:rFonts w:ascii="新細明體" w:eastAsia="新細明體" w:hAnsi="新細明體"/>
          <w:color w:val="000000"/>
          <w:sz w:val="28"/>
          <w:szCs w:val="28"/>
          <w:lang w:val="en-MY" w:eastAsia="zh-TW"/>
        </w:rPr>
      </w:pPr>
      <w:r>
        <w:rPr>
          <w:rFonts w:ascii="新細明體" w:eastAsia="新細明體" w:hAnsi="新細明體"/>
          <w:color w:val="000000"/>
          <w:sz w:val="28"/>
          <w:szCs w:val="28"/>
          <w:lang w:val="en-MY" w:eastAsia="zh-TW"/>
        </w:rPr>
        <w:t xml:space="preserve">Salom Electric (Xiamen) Co., Ltd, </w:t>
      </w:r>
      <w:r>
        <w:rPr>
          <w:rFonts w:ascii="新細明體" w:eastAsia="新細明體" w:hAnsi="新細明體" w:hint="eastAsia"/>
          <w:color w:val="000000"/>
          <w:sz w:val="28"/>
          <w:szCs w:val="28"/>
          <w:lang w:eastAsia="zh-TW"/>
        </w:rPr>
        <w:t>ha</w:t>
      </w:r>
      <w:r>
        <w:rPr>
          <w:rFonts w:ascii="新細明體" w:eastAsia="新細明體" w:hAnsi="新細明體"/>
          <w:color w:val="000000"/>
          <w:sz w:val="28"/>
          <w:szCs w:val="28"/>
          <w:lang w:val="en-MY" w:eastAsia="zh-TW"/>
        </w:rPr>
        <w:t>s</w:t>
      </w:r>
      <w:r>
        <w:rPr>
          <w:rFonts w:ascii="新細明體" w:eastAsia="新細明體" w:hAnsi="新細明體" w:hint="eastAsia"/>
          <w:color w:val="000000"/>
          <w:sz w:val="28"/>
          <w:szCs w:val="28"/>
          <w:lang w:eastAsia="zh-TW"/>
        </w:rPr>
        <w:t xml:space="preserve"> developed  our program to align with  the  Organisation  for Economic  Co-operation  and Development  (OECD)  Due  Diligence  Guidance  for  Responsible  Supply  Chains  of Minerals  from Conflict-Affected  and  H</w:t>
      </w:r>
      <w:r>
        <w:rPr>
          <w:rFonts w:ascii="新細明體" w:eastAsia="新細明體" w:hAnsi="新細明體" w:hint="eastAsia"/>
          <w:color w:val="000000"/>
          <w:sz w:val="28"/>
          <w:szCs w:val="28"/>
          <w:lang w:eastAsia="zh-TW"/>
        </w:rPr>
        <w:t>igh-Risk  Areas.</w:t>
      </w:r>
      <w:r>
        <w:rPr>
          <w:rFonts w:ascii="新細明體" w:eastAsia="新細明體" w:hAnsi="新細明體"/>
          <w:color w:val="000000"/>
          <w:sz w:val="28"/>
          <w:szCs w:val="28"/>
          <w:lang w:val="en-MY" w:eastAsia="zh-TW"/>
        </w:rPr>
        <w:t xml:space="preserve"> </w:t>
      </w:r>
      <w:r>
        <w:rPr>
          <w:rFonts w:ascii="新細明體" w:eastAsia="新細明體" w:hAnsi="新細明體" w:cstheme="minorHAnsi"/>
          <w:color w:val="000000"/>
          <w:sz w:val="28"/>
          <w:szCs w:val="28"/>
        </w:rPr>
        <w:t>（</w:t>
      </w:r>
      <w:r>
        <w:rPr>
          <w:rFonts w:ascii="新細明體" w:eastAsia="新細明體" w:hAnsi="新細明體" w:cstheme="minorHAnsi"/>
          <w:color w:val="000000"/>
          <w:sz w:val="28"/>
          <w:szCs w:val="28"/>
        </w:rPr>
        <w:t>OECD Annex II Model Supply Chain Policy</w:t>
      </w:r>
      <w:r>
        <w:rPr>
          <w:rFonts w:ascii="新細明體" w:eastAsia="新細明體" w:hAnsi="新細明體" w:cstheme="minorHAnsi"/>
          <w:color w:val="000000"/>
          <w:sz w:val="28"/>
          <w:szCs w:val="28"/>
          <w:lang w:val="en-MY"/>
        </w:rPr>
        <w:t xml:space="preserve">). </w:t>
      </w:r>
      <w:r>
        <w:rPr>
          <w:rFonts w:ascii="新細明體" w:eastAsia="新細明體" w:hAnsi="新細明體"/>
          <w:color w:val="000000"/>
          <w:sz w:val="28"/>
          <w:szCs w:val="28"/>
          <w:lang w:val="en-MY"/>
        </w:rPr>
        <w:t>The various risks mentioned for mining, trading, transporting and exporting minerals in high-risk areas. Salom Electric (Xiamen ) CO., Ltd is committed to a business of respecting human rights and not contributing to conflict, and hereby establishes a mode</w:t>
      </w:r>
      <w:r>
        <w:rPr>
          <w:rFonts w:ascii="新細明體" w:eastAsia="新細明體" w:hAnsi="新細明體"/>
          <w:color w:val="000000"/>
          <w:sz w:val="28"/>
          <w:szCs w:val="28"/>
          <w:lang w:val="en-MY"/>
        </w:rPr>
        <w:t xml:space="preserve">l global responsible supply chain policy and </w:t>
      </w:r>
      <w:r>
        <w:rPr>
          <w:rFonts w:ascii="新細明體" w:eastAsia="新細明體" w:hAnsi="新細明體"/>
          <w:color w:val="000000"/>
          <w:sz w:val="28"/>
          <w:szCs w:val="28"/>
          <w:lang w:val="en-MY" w:eastAsia="zh-TW"/>
        </w:rPr>
        <w:t>complying with  any  requirements  applicable  to  our Company under the Conflict Minerals  Rule.</w:t>
      </w:r>
    </w:p>
    <w:p w:rsidR="005A5A2F" w:rsidRDefault="00300F19">
      <w:pPr>
        <w:shd w:val="clear" w:color="auto" w:fill="FFFFFF"/>
        <w:spacing w:after="240"/>
        <w:ind w:firstLine="480"/>
        <w:jc w:val="both"/>
        <w:rPr>
          <w:rFonts w:ascii="新細明體" w:eastAsia="新細明體" w:hAnsi="新細明體"/>
          <w:color w:val="000000"/>
          <w:sz w:val="28"/>
          <w:szCs w:val="28"/>
          <w:lang w:val="en-MY" w:eastAsia="zh-TW"/>
        </w:rPr>
      </w:pPr>
      <w:r>
        <w:rPr>
          <w:rFonts w:ascii="新細明體" w:eastAsia="新細明體" w:hAnsi="新細明體"/>
          <w:color w:val="000000"/>
          <w:sz w:val="28"/>
          <w:szCs w:val="28"/>
          <w:lang w:val="en-MY" w:eastAsia="zh-TW"/>
        </w:rPr>
        <w:t xml:space="preserve">Policy statement : </w:t>
      </w:r>
    </w:p>
    <w:p w:rsidR="005A5A2F" w:rsidRDefault="00300F19">
      <w:pPr>
        <w:shd w:val="clear" w:color="auto" w:fill="FFFFFF"/>
        <w:spacing w:after="240"/>
        <w:ind w:firstLine="480"/>
        <w:jc w:val="both"/>
        <w:rPr>
          <w:rFonts w:ascii="新細明體" w:eastAsia="新細明體" w:hAnsi="新細明體"/>
          <w:color w:val="000000"/>
          <w:sz w:val="28"/>
          <w:szCs w:val="28"/>
          <w:lang w:val="en-MY" w:eastAsia="zh-TW"/>
        </w:rPr>
      </w:pPr>
      <w:r>
        <w:rPr>
          <w:rFonts w:ascii="新細明體" w:eastAsia="新細明體" w:hAnsi="新細明體"/>
          <w:color w:val="000000"/>
          <w:sz w:val="28"/>
          <w:szCs w:val="28"/>
          <w:lang w:val="en-MY" w:eastAsia="zh-TW"/>
        </w:rPr>
        <w:t xml:space="preserve">In response to the risks mentioned in the (OECD Annex II Model Supply Chain Policy ) on </w:t>
      </w:r>
      <w:r>
        <w:rPr>
          <w:rFonts w:ascii="新細明體" w:eastAsia="新細明體" w:hAnsi="新細明體" w:hint="eastAsia"/>
          <w:color w:val="000000"/>
          <w:sz w:val="28"/>
          <w:szCs w:val="28"/>
          <w:lang w:eastAsia="zh-TW"/>
        </w:rPr>
        <w:t>Organisation  for Economic  Co-operation  and Development  (OECD)  Due  Diligence  Guidance  for  Responsible  Supply  Chains  of Minerals  from Conflict-Affected  and  High-Risk  Areas</w:t>
      </w:r>
      <w:r>
        <w:rPr>
          <w:rFonts w:ascii="新細明體" w:eastAsia="新細明體" w:hAnsi="新細明體"/>
          <w:color w:val="000000"/>
          <w:sz w:val="28"/>
          <w:szCs w:val="28"/>
          <w:lang w:val="en-MY" w:eastAsia="zh-TW"/>
        </w:rPr>
        <w:t>,  Xiamen Electric (Xiamen) CO., Ltd commits to:</w:t>
      </w:r>
    </w:p>
    <w:p w:rsidR="005A5A2F" w:rsidRDefault="00300F19">
      <w:pPr>
        <w:numPr>
          <w:ilvl w:val="0"/>
          <w:numId w:val="2"/>
        </w:numPr>
        <w:shd w:val="clear" w:color="auto" w:fill="FFFFFF"/>
        <w:spacing w:after="240"/>
        <w:ind w:leftChars="200" w:left="720" w:hanging="240"/>
        <w:jc w:val="both"/>
        <w:rPr>
          <w:rFonts w:ascii="新細明體" w:eastAsia="新細明體" w:hAnsi="新細明體"/>
          <w:color w:val="000000"/>
          <w:sz w:val="28"/>
          <w:szCs w:val="28"/>
          <w:lang w:val="en-MY" w:eastAsia="zh-TW"/>
        </w:rPr>
      </w:pPr>
      <w:r>
        <w:rPr>
          <w:rFonts w:ascii="新細明體" w:eastAsia="新細明體" w:hAnsi="新細明體"/>
          <w:color w:val="000000"/>
          <w:sz w:val="28"/>
          <w:szCs w:val="28"/>
          <w:lang w:val="en-MY" w:eastAsia="zh-TW"/>
        </w:rPr>
        <w:t>Not tolerating serious</w:t>
      </w:r>
      <w:r>
        <w:rPr>
          <w:rFonts w:ascii="新細明體" w:eastAsia="新細明體" w:hAnsi="新細明體"/>
          <w:color w:val="000000"/>
          <w:sz w:val="28"/>
          <w:szCs w:val="28"/>
          <w:lang w:val="en-MY" w:eastAsia="zh-TW"/>
        </w:rPr>
        <w:t xml:space="preserve"> violations related to mineral extraction, transportation, or  trading.</w:t>
      </w:r>
    </w:p>
    <w:p w:rsidR="005A5A2F" w:rsidRDefault="00300F19">
      <w:pPr>
        <w:numPr>
          <w:ilvl w:val="0"/>
          <w:numId w:val="2"/>
        </w:numPr>
        <w:shd w:val="clear" w:color="auto" w:fill="FFFFFF"/>
        <w:spacing w:after="240"/>
        <w:ind w:leftChars="200" w:left="720" w:hanging="240"/>
        <w:jc w:val="both"/>
        <w:rPr>
          <w:rFonts w:ascii="新細明體" w:eastAsia="新細明體" w:hAnsi="新細明體"/>
          <w:color w:val="000000"/>
          <w:sz w:val="28"/>
          <w:szCs w:val="28"/>
          <w:lang w:val="en-MY" w:eastAsia="zh-TW"/>
        </w:rPr>
      </w:pPr>
      <w:r>
        <w:rPr>
          <w:rFonts w:ascii="新細明體" w:eastAsia="新細明體" w:hAnsi="新細明體"/>
          <w:color w:val="000000"/>
          <w:sz w:val="28"/>
          <w:szCs w:val="28"/>
          <w:lang w:val="en-MY" w:eastAsia="zh-TW"/>
        </w:rPr>
        <w:lastRenderedPageBreak/>
        <w:t>Resisting direct or indirect support to non-State armed groups.</w:t>
      </w:r>
    </w:p>
    <w:p w:rsidR="005A5A2F" w:rsidRDefault="00300F19">
      <w:pPr>
        <w:numPr>
          <w:ilvl w:val="0"/>
          <w:numId w:val="2"/>
        </w:numPr>
        <w:shd w:val="clear" w:color="auto" w:fill="FFFFFF"/>
        <w:spacing w:after="240"/>
        <w:ind w:leftChars="200" w:left="720" w:hanging="240"/>
        <w:jc w:val="both"/>
        <w:rPr>
          <w:rFonts w:ascii="新細明體" w:eastAsia="新細明體" w:hAnsi="新細明體"/>
          <w:color w:val="000000"/>
          <w:sz w:val="28"/>
          <w:szCs w:val="28"/>
          <w:lang w:val="en-MY" w:eastAsia="zh-TW"/>
        </w:rPr>
      </w:pPr>
      <w:r>
        <w:rPr>
          <w:rFonts w:ascii="新細明體" w:eastAsia="新細明體" w:hAnsi="新細明體"/>
          <w:color w:val="000000"/>
          <w:sz w:val="28"/>
          <w:szCs w:val="28"/>
          <w:lang w:val="en-MY" w:eastAsia="zh-TW"/>
        </w:rPr>
        <w:t>Implementing risk management for public or private security arms.</w:t>
      </w:r>
    </w:p>
    <w:p w:rsidR="005A5A2F" w:rsidRDefault="00300F19">
      <w:pPr>
        <w:numPr>
          <w:ilvl w:val="0"/>
          <w:numId w:val="2"/>
        </w:numPr>
        <w:shd w:val="clear" w:color="auto" w:fill="FFFFFF"/>
        <w:spacing w:after="240"/>
        <w:ind w:leftChars="200" w:left="720" w:hanging="240"/>
        <w:jc w:val="both"/>
        <w:rPr>
          <w:rFonts w:ascii="新細明體" w:eastAsia="新細明體" w:hAnsi="新細明體"/>
          <w:color w:val="000000"/>
          <w:sz w:val="28"/>
          <w:szCs w:val="28"/>
          <w:lang w:val="en-MY" w:eastAsia="zh-TW"/>
        </w:rPr>
      </w:pPr>
      <w:r>
        <w:rPr>
          <w:rFonts w:ascii="新細明體" w:eastAsia="新細明體" w:hAnsi="新細明體"/>
          <w:color w:val="000000"/>
          <w:sz w:val="28"/>
          <w:szCs w:val="28"/>
          <w:lang w:val="en-MY" w:eastAsia="zh-TW"/>
        </w:rPr>
        <w:t>Resist bribery and fraudulent misrepresentation of the</w:t>
      </w:r>
      <w:r>
        <w:rPr>
          <w:rFonts w:ascii="新細明體" w:eastAsia="新細明體" w:hAnsi="新細明體"/>
          <w:color w:val="000000"/>
          <w:sz w:val="28"/>
          <w:szCs w:val="28"/>
          <w:lang w:val="en-MY" w:eastAsia="zh-TW"/>
        </w:rPr>
        <w:t xml:space="preserve"> origin of minerals and money laundering</w:t>
      </w:r>
      <w:r>
        <w:rPr>
          <w:rFonts w:ascii="新細明體" w:eastAsia="SimSun" w:hAnsi="新細明體" w:hint="eastAsia"/>
          <w:color w:val="000000"/>
          <w:sz w:val="28"/>
          <w:szCs w:val="28"/>
        </w:rPr>
        <w:t xml:space="preserve"> </w:t>
      </w:r>
      <w:r>
        <w:rPr>
          <w:rFonts w:ascii="新細明體" w:eastAsia="新細明體" w:hAnsi="新細明體"/>
          <w:color w:val="000000"/>
          <w:sz w:val="28"/>
          <w:szCs w:val="28"/>
          <w:lang w:val="en-MY" w:eastAsia="zh-TW"/>
        </w:rPr>
        <w:t>and risk management of bribery and fraudulent misrepresentation of the origin of minerals, money laundering and taxes, fees, royalties paid to governments.</w:t>
      </w:r>
    </w:p>
    <w:p w:rsidR="005A5A2F" w:rsidRDefault="00300F19">
      <w:pPr>
        <w:numPr>
          <w:ilvl w:val="0"/>
          <w:numId w:val="2"/>
        </w:numPr>
        <w:shd w:val="clear" w:color="auto" w:fill="FFFFFF"/>
        <w:spacing w:after="240"/>
        <w:ind w:leftChars="200" w:left="720" w:hanging="240"/>
        <w:jc w:val="both"/>
        <w:rPr>
          <w:rFonts w:ascii="新細明體" w:eastAsia="新細明體" w:hAnsi="新細明體"/>
          <w:color w:val="000000"/>
          <w:sz w:val="28"/>
          <w:szCs w:val="28"/>
          <w:lang w:val="en-MY" w:eastAsia="zh-TW"/>
        </w:rPr>
      </w:pPr>
      <w:r>
        <w:rPr>
          <w:rFonts w:ascii="新細明體" w:eastAsia="新細明體" w:hAnsi="新細明體"/>
          <w:color w:val="000000"/>
          <w:sz w:val="28"/>
          <w:szCs w:val="28"/>
          <w:lang w:val="en-MY" w:eastAsia="zh-TW"/>
        </w:rPr>
        <w:t>Ensure that all legitimate taxes, fees and royalties relate</w:t>
      </w:r>
      <w:r>
        <w:rPr>
          <w:rFonts w:ascii="新細明體" w:eastAsia="新細明體" w:hAnsi="新細明體"/>
          <w:color w:val="000000"/>
          <w:sz w:val="28"/>
          <w:szCs w:val="28"/>
          <w:lang w:val="en-MY" w:eastAsia="zh-TW"/>
        </w:rPr>
        <w:t>d to the extraction, trade and export of ores from conflict-affected and high-risk areas are paid to governments, and commit to disclosing such payments in accordance with the principles of the Extractive Industries Transparency Initiative (EITI), dependin</w:t>
      </w:r>
      <w:r>
        <w:rPr>
          <w:rFonts w:ascii="新細明體" w:eastAsia="新細明體" w:hAnsi="新細明體"/>
          <w:color w:val="000000"/>
          <w:sz w:val="28"/>
          <w:szCs w:val="28"/>
          <w:lang w:val="en-MY" w:eastAsia="zh-TW"/>
        </w:rPr>
        <w:t>g on where companies are in the supply chain.</w:t>
      </w:r>
    </w:p>
    <w:p w:rsidR="005A5A2F" w:rsidRDefault="00300F19" w:rsidP="00300F19">
      <w:pPr>
        <w:shd w:val="clear" w:color="auto" w:fill="FFFFFF"/>
        <w:spacing w:after="240"/>
        <w:ind w:leftChars="200" w:left="480"/>
        <w:jc w:val="both"/>
        <w:rPr>
          <w:rFonts w:ascii="新細明體" w:eastAsia="SimSun" w:hAnsi="新細明體"/>
          <w:color w:val="000000"/>
          <w:sz w:val="28"/>
          <w:szCs w:val="28"/>
        </w:rPr>
      </w:pPr>
      <w:r>
        <w:rPr>
          <w:rFonts w:ascii="新細明體" w:eastAsia="新細明體" w:hAnsi="新細明體"/>
          <w:color w:val="000000"/>
          <w:sz w:val="28"/>
          <w:szCs w:val="28"/>
          <w:lang w:val="en-MY" w:eastAsia="zh-TW"/>
        </w:rPr>
        <w:t xml:space="preserve">The above policy is applied to all suppliers of </w:t>
      </w:r>
      <w:r>
        <w:rPr>
          <w:rFonts w:ascii="新細明體" w:eastAsia="SimSun" w:hAnsi="新細明體" w:hint="eastAsia"/>
          <w:color w:val="000000"/>
          <w:sz w:val="28"/>
          <w:szCs w:val="28"/>
        </w:rPr>
        <w:t>Salom Electric (Xiamen) Co., Ltd.</w:t>
      </w:r>
    </w:p>
    <w:p w:rsidR="005A5A2F" w:rsidRDefault="005A5A2F">
      <w:pPr>
        <w:shd w:val="clear" w:color="auto" w:fill="FFFFFF"/>
        <w:spacing w:after="240"/>
        <w:ind w:firstLine="480"/>
        <w:jc w:val="both"/>
        <w:rPr>
          <w:rFonts w:ascii="新細明體" w:eastAsia="新細明體" w:hAnsi="新細明體"/>
          <w:color w:val="000000"/>
          <w:sz w:val="28"/>
          <w:szCs w:val="28"/>
          <w:lang w:val="en-MY" w:eastAsia="zh-TW"/>
        </w:rPr>
      </w:pPr>
    </w:p>
    <w:p w:rsidR="005A5A2F" w:rsidRDefault="00300F19">
      <w:pPr>
        <w:shd w:val="clear" w:color="auto" w:fill="FFFFFF"/>
        <w:spacing w:after="240"/>
        <w:ind w:firstLine="480"/>
        <w:jc w:val="both"/>
        <w:rPr>
          <w:rFonts w:ascii="新細明體" w:eastAsia="新細明體" w:hAnsi="新細明體"/>
          <w:color w:val="000000"/>
          <w:sz w:val="28"/>
          <w:szCs w:val="28"/>
          <w:lang w:val="en-MY" w:eastAsia="zh-TW"/>
        </w:rPr>
      </w:pPr>
      <w:r>
        <w:rPr>
          <w:rFonts w:ascii="新細明體" w:eastAsia="新細明體" w:hAnsi="新細明體"/>
          <w:color w:val="000000"/>
          <w:sz w:val="28"/>
          <w:szCs w:val="28"/>
          <w:lang w:val="en-MY"/>
        </w:rPr>
        <w:t xml:space="preserve"> </w:t>
      </w:r>
    </w:p>
    <w:p w:rsidR="005A5A2F" w:rsidRDefault="005A5A2F">
      <w:pPr>
        <w:tabs>
          <w:tab w:val="left" w:pos="20"/>
          <w:tab w:val="left" w:pos="360"/>
        </w:tabs>
        <w:autoSpaceDE w:val="0"/>
        <w:autoSpaceDN w:val="0"/>
        <w:adjustRightInd w:val="0"/>
        <w:rPr>
          <w:rFonts w:ascii="新細明體" w:eastAsia="新細明體" w:hAnsi="新細明體" w:cstheme="minorHAnsi"/>
          <w:color w:val="000000"/>
          <w:sz w:val="28"/>
          <w:szCs w:val="28"/>
        </w:rPr>
      </w:pPr>
    </w:p>
    <w:sectPr w:rsidR="005A5A2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新細明體"/>
    <w:panose1 w:val="00000000000000000000"/>
    <w:charset w:val="88"/>
    <w:family w:val="roman"/>
    <w:notTrueType/>
    <w:pitch w:val="default"/>
  </w:font>
  <w:font w:name="Calibri Light">
    <w:charset w:val="00"/>
    <w:family w:val="swiss"/>
    <w:pitch w:val="default"/>
    <w:sig w:usb0="E4002EFF" w:usb1="C000247B" w:usb2="00000009" w:usb3="00000000" w:csb0="200001FF" w:csb1="00000000"/>
  </w:font>
  <w:font w:name="等线 Light">
    <w:panose1 w:val="00000000000000000000"/>
    <w:charset w:val="88"/>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80965B"/>
    <w:multiLevelType w:val="singleLevel"/>
    <w:tmpl w:val="ED80965B"/>
    <w:lvl w:ilvl="0">
      <w:start w:val="1"/>
      <w:numFmt w:val="decimal"/>
      <w:suff w:val="space"/>
      <w:lvlText w:val="%1."/>
      <w:lvlJc w:val="left"/>
    </w:lvl>
  </w:abstractNum>
  <w:abstractNum w:abstractNumId="1">
    <w:nsid w:val="74DC6747"/>
    <w:multiLevelType w:val="multilevel"/>
    <w:tmpl w:val="74DC674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EF"/>
    <w:rsid w:val="00197A45"/>
    <w:rsid w:val="00300F19"/>
    <w:rsid w:val="004770ED"/>
    <w:rsid w:val="00496A2A"/>
    <w:rsid w:val="00511E3A"/>
    <w:rsid w:val="005A5A2F"/>
    <w:rsid w:val="006A0BDA"/>
    <w:rsid w:val="00AA0614"/>
    <w:rsid w:val="00AA63EF"/>
    <w:rsid w:val="00AF2536"/>
    <w:rsid w:val="00B457F2"/>
    <w:rsid w:val="00BB6791"/>
    <w:rsid w:val="00C50120"/>
    <w:rsid w:val="00CB78A7"/>
    <w:rsid w:val="00DD3077"/>
    <w:rsid w:val="00E35EB2"/>
    <w:rsid w:val="00E35F33"/>
    <w:rsid w:val="00E931E6"/>
    <w:rsid w:val="00E94A36"/>
    <w:rsid w:val="176A6EF0"/>
    <w:rsid w:val="48612BF5"/>
    <w:rsid w:val="55476028"/>
    <w:rsid w:val="6F8A6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eastAsiaTheme="minorEastAsia" w:hAnsiTheme="minorHAnsi" w:cstheme="minorBid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Pr>
      <w:rFonts w:asciiTheme="majorHAnsi" w:eastAsiaTheme="majorEastAsia" w:hAnsiTheme="majorHAnsi" w:cstheme="majorBidi"/>
      <w:sz w:val="18"/>
      <w:szCs w:val="18"/>
    </w:rPr>
  </w:style>
  <w:style w:type="paragraph" w:customStyle="1" w:styleId="ms-rtethemeforecolor-2-0">
    <w:name w:val="ms-rtethemeforecolor-2-0"/>
    <w:basedOn w:val="a"/>
    <w:pPr>
      <w:spacing w:before="100" w:beforeAutospacing="1" w:after="100" w:afterAutospacing="1"/>
    </w:pPr>
    <w:rPr>
      <w:rFonts w:ascii="新細明體" w:eastAsia="新細明體" w:hAnsi="新細明體" w:cs="新細明體"/>
      <w:lang w:eastAsia="zh-TW"/>
    </w:rPr>
  </w:style>
  <w:style w:type="paragraph" w:styleId="a5">
    <w:name w:val="List Paragraph"/>
    <w:basedOn w:val="a"/>
    <w:uiPriority w:val="34"/>
    <w:qFormat/>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eastAsiaTheme="minorEastAsia" w:hAnsiTheme="minorHAnsi" w:cstheme="minorBid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Pr>
      <w:rFonts w:asciiTheme="majorHAnsi" w:eastAsiaTheme="majorEastAsia" w:hAnsiTheme="majorHAnsi" w:cstheme="majorBidi"/>
      <w:sz w:val="18"/>
      <w:szCs w:val="18"/>
    </w:rPr>
  </w:style>
  <w:style w:type="paragraph" w:customStyle="1" w:styleId="ms-rtethemeforecolor-2-0">
    <w:name w:val="ms-rtethemeforecolor-2-0"/>
    <w:basedOn w:val="a"/>
    <w:pPr>
      <w:spacing w:before="100" w:beforeAutospacing="1" w:after="100" w:afterAutospacing="1"/>
    </w:pPr>
    <w:rPr>
      <w:rFonts w:ascii="新細明體" w:eastAsia="新細明體" w:hAnsi="新細明體" w:cs="新細明體"/>
      <w:lang w:eastAsia="zh-TW"/>
    </w:rPr>
  </w:style>
  <w:style w:type="paragraph" w:styleId="a5">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oecd.org/daf/inv/mne/DDG-Chinese-web.pdf" TargetMode="External"/><Relationship Id="rId3" Type="http://schemas.openxmlformats.org/officeDocument/2006/relationships/styles" Target="styles.xml"/><Relationship Id="rId7" Type="http://schemas.openxmlformats.org/officeDocument/2006/relationships/hyperlink" Target="https://www.oecd.org/daf/inv/mne/DDG-Chinese-web.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3411</Characters>
  <Application>Microsoft Office Word</Application>
  <DocSecurity>0</DocSecurity>
  <Lines>28</Lines>
  <Paragraphs>8</Paragraphs>
  <ScaleCrop>false</ScaleCrop>
  <Company>Microsoft</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Runyi Ye</dc:creator>
  <cp:lastModifiedBy>陳東奮 (C.QC.GL&amp;CE-環境保證)</cp:lastModifiedBy>
  <cp:revision>2</cp:revision>
  <cp:lastPrinted>2021-10-18T07:40:00Z</cp:lastPrinted>
  <dcterms:created xsi:type="dcterms:W3CDTF">2021-10-20T02:23:00Z</dcterms:created>
  <dcterms:modified xsi:type="dcterms:W3CDTF">2021-10-20T02:23:00Z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5BD5AC80FA014771A489CE7995E060CA</vt:lpwstr>
  </property>
</Properties>
</file>